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2" w:rsidRDefault="00F05962" w:rsidP="00F05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F05962" w:rsidRDefault="00F05962" w:rsidP="00F05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F05962" w:rsidRPr="003D35C7" w:rsidRDefault="00F05962" w:rsidP="00F05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62" w:rsidRPr="003D35C7" w:rsidRDefault="00F05962" w:rsidP="00F05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5962" w:rsidRPr="003D35C7" w:rsidRDefault="00F05962" w:rsidP="00F05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</w:t>
      </w:r>
      <w:r w:rsidRPr="003D35C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5C7">
        <w:rPr>
          <w:rFonts w:ascii="Times New Roman" w:hAnsi="Times New Roman" w:cs="Times New Roman"/>
          <w:sz w:val="24"/>
          <w:szCs w:val="24"/>
        </w:rPr>
        <w:t xml:space="preserve"> г.</w:t>
      </w:r>
      <w:r w:rsidRPr="003D3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F05962" w:rsidRPr="003D35C7" w:rsidRDefault="00F05962" w:rsidP="00F05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962" w:rsidRPr="003D35C7" w:rsidRDefault="00F05962" w:rsidP="00F059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35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5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3D35C7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F05962" w:rsidRPr="003D35C7" w:rsidRDefault="00F05962" w:rsidP="00F05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962" w:rsidRDefault="00F05962" w:rsidP="00F05962">
      <w:pPr>
        <w:pStyle w:val="a3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Об утверждении </w:t>
      </w:r>
      <w:r>
        <w:rPr>
          <w:szCs w:val="24"/>
          <w:lang w:eastAsia="ru-RU"/>
        </w:rPr>
        <w:t xml:space="preserve">муниципальной </w:t>
      </w:r>
      <w:r w:rsidRPr="003D35C7">
        <w:rPr>
          <w:szCs w:val="24"/>
          <w:lang w:eastAsia="ru-RU"/>
        </w:rPr>
        <w:t xml:space="preserve">программы </w:t>
      </w:r>
    </w:p>
    <w:p w:rsidR="00F05962" w:rsidRPr="003D35C7" w:rsidRDefault="00F05962" w:rsidP="00F05962">
      <w:pPr>
        <w:pStyle w:val="a3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«Профилактика терроризма и экстремизма </w:t>
      </w:r>
      <w:proofErr w:type="gramStart"/>
      <w:r w:rsidRPr="003D35C7">
        <w:rPr>
          <w:szCs w:val="24"/>
          <w:lang w:eastAsia="ru-RU"/>
        </w:rPr>
        <w:t>на</w:t>
      </w:r>
      <w:proofErr w:type="gramEnd"/>
    </w:p>
    <w:p w:rsidR="00F05962" w:rsidRDefault="00F05962" w:rsidP="00F05962">
      <w:pPr>
        <w:pStyle w:val="a3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>территории муниципального образования</w:t>
      </w:r>
      <w:r>
        <w:rPr>
          <w:szCs w:val="24"/>
          <w:lang w:eastAsia="ru-RU"/>
        </w:rPr>
        <w:t xml:space="preserve"> </w:t>
      </w:r>
    </w:p>
    <w:p w:rsidR="00F05962" w:rsidRPr="003D35C7" w:rsidRDefault="00F05962" w:rsidP="00F05962">
      <w:pPr>
        <w:pStyle w:val="a3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>«</w:t>
      </w:r>
      <w:r>
        <w:rPr>
          <w:szCs w:val="24"/>
          <w:lang w:eastAsia="ru-RU"/>
        </w:rPr>
        <w:t xml:space="preserve">Средневасюганское </w:t>
      </w:r>
      <w:r w:rsidRPr="003D35C7">
        <w:rPr>
          <w:szCs w:val="24"/>
          <w:lang w:eastAsia="ru-RU"/>
        </w:rPr>
        <w:t xml:space="preserve"> сельское поселение»</w:t>
      </w:r>
    </w:p>
    <w:p w:rsidR="00F05962" w:rsidRPr="003D35C7" w:rsidRDefault="00F05962" w:rsidP="00F05962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  <w:lang w:eastAsia="ru-RU"/>
        </w:rPr>
        <w:t>на 2018  -  2019</w:t>
      </w:r>
      <w:r w:rsidRPr="003D35C7">
        <w:rPr>
          <w:szCs w:val="24"/>
          <w:lang w:eastAsia="ru-RU"/>
        </w:rPr>
        <w:t xml:space="preserve"> годы»</w:t>
      </w:r>
    </w:p>
    <w:p w:rsidR="00F05962" w:rsidRPr="003D35C7" w:rsidRDefault="00F05962" w:rsidP="00F05962">
      <w:pPr>
        <w:pStyle w:val="Standard"/>
        <w:ind w:firstLine="567"/>
        <w:rPr>
          <w:rFonts w:cs="Times New Roman"/>
        </w:rPr>
      </w:pPr>
    </w:p>
    <w:p w:rsidR="00F05962" w:rsidRPr="003D35C7" w:rsidRDefault="00F05962" w:rsidP="00F05962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7.1 ч. 1 ст. 14 Федерального закона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самоуправления», ст.ст. 4,5 Федерального закона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2002 № 114-ФЗ «О противодействии экстремистской деятельности», Федеральным  законом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 35-ФЗ  «О противодействии терроризма», Законом Томской области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 152-ОЗ «О закреплении отдельных вопросов местного значения за сельскими поселениями Томской области», в целях реализации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</w:t>
      </w:r>
    </w:p>
    <w:p w:rsidR="00F05962" w:rsidRPr="003D35C7" w:rsidRDefault="00F05962" w:rsidP="00F05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962" w:rsidRPr="003D35C7" w:rsidRDefault="00F05962" w:rsidP="00F059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3D35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  </w:t>
      </w:r>
      <w:r w:rsidRPr="00CA1DAA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«Профилактика терроризма и экстремизма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Средневасюганское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поселения»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(далее - «Программа»), согласно Приложению № 1.</w:t>
      </w:r>
    </w:p>
    <w:p w:rsidR="00F05962" w:rsidRPr="007E129D" w:rsidRDefault="00F05962" w:rsidP="00F0596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Pr="007E129D">
        <w:rPr>
          <w:rFonts w:ascii="Times New Roman" w:hAnsi="Times New Roman" w:cs="Times New Roman"/>
          <w:bCs/>
          <w:sz w:val="24"/>
        </w:rPr>
        <w:t>. Обнародовать настоящее постановление в порядке, установленном Уставом муниципального образования «</w:t>
      </w:r>
      <w:r>
        <w:rPr>
          <w:rFonts w:ascii="Times New Roman" w:hAnsi="Times New Roman" w:cs="Times New Roman"/>
          <w:bCs/>
          <w:sz w:val="24"/>
        </w:rPr>
        <w:t xml:space="preserve">Средневасюганское </w:t>
      </w:r>
      <w:r w:rsidRPr="007E129D">
        <w:rPr>
          <w:rFonts w:ascii="Times New Roman" w:hAnsi="Times New Roman" w:cs="Times New Roman"/>
          <w:bCs/>
          <w:sz w:val="24"/>
        </w:rPr>
        <w:t xml:space="preserve"> сельское поселение».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05962" w:rsidRPr="003D35C7" w:rsidRDefault="00F05962" w:rsidP="00F05962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962" w:rsidRPr="003D35C7" w:rsidRDefault="00F05962" w:rsidP="00F0596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962" w:rsidRPr="003D35C7" w:rsidRDefault="00F05962" w:rsidP="00F0596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962" w:rsidRPr="003D35C7" w:rsidRDefault="00F05962" w:rsidP="00F0596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D35C7">
        <w:rPr>
          <w:rFonts w:ascii="Times New Roman" w:hAnsi="Times New Roman" w:cs="Times New Roman"/>
          <w:sz w:val="24"/>
          <w:szCs w:val="24"/>
          <w:lang w:eastAsia="ar-SA"/>
        </w:rPr>
        <w:t xml:space="preserve">Глава сельского поселения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А.К. Русаков </w:t>
      </w: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62" w:rsidRPr="003D35C7" w:rsidRDefault="00F05962" w:rsidP="00F05962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05962" w:rsidRPr="003D35C7" w:rsidRDefault="00F05962" w:rsidP="00F0596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F05962" w:rsidRPr="003D35C7" w:rsidRDefault="00F05962" w:rsidP="00F0596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05962" w:rsidRPr="00675D7F" w:rsidRDefault="00F05962" w:rsidP="00F05962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75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F05962" w:rsidRPr="003D35C7" w:rsidRDefault="00F05962" w:rsidP="00F05962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«Профилактика терроризма и экстремизма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Средневасюганское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F05962" w:rsidRPr="003D35C7" w:rsidRDefault="00F05962" w:rsidP="00F05962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F05962" w:rsidRPr="003D35C7" w:rsidRDefault="00F05962" w:rsidP="00F05962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9"/>
        <w:gridCol w:w="6602"/>
      </w:tblGrid>
      <w:tr w:rsidR="00F05962" w:rsidRPr="003D35C7" w:rsidTr="0054058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 Томской области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D35C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 Васюган</w:t>
            </w:r>
            <w:r w:rsidRPr="003D35C7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Средневасюганское </w:t>
            </w:r>
            <w:r w:rsidRPr="003D3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(МУП «ЖКХ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Васюган»</w:t>
            </w:r>
            <w:r w:rsidRPr="003D35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 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Средневасюганского сельского поселения»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Средневасюганского сельского поселения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Николаевича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ООШ»),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дошкольное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6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участковые уполномоченные полиции, Администрация Каргасокского района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проведение воспитательной, пропагандистской работы с населением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 на предупреждение террористической и экстремистской деятельности  и повышения бдительности;</w:t>
            </w:r>
          </w:p>
          <w:p w:rsidR="00F05962" w:rsidRPr="003D35C7" w:rsidRDefault="00F05962" w:rsidP="00540588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      </w:r>
          </w:p>
          <w:p w:rsidR="00F05962" w:rsidRPr="003D35C7" w:rsidRDefault="00F05962" w:rsidP="00540588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профилактика терроризма и экстремизма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05962" w:rsidRPr="003D35C7" w:rsidRDefault="00F05962" w:rsidP="00540588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укрепление межнационального согласия;</w:t>
            </w:r>
          </w:p>
          <w:p w:rsidR="00F05962" w:rsidRPr="003D35C7" w:rsidRDefault="00F05962" w:rsidP="00540588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сведение к минимуму проявлений терроризма и экстремизма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привлечени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  общественных организаций для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максимальной эффективности деятельности по профилактике терроризма и экстремизма;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воспитательной, пропагандистской работы с населением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  на предупреждение террористической и экстремистской деятельности;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бдительности населения.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число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совершенных актов экстремистской направленности против соблюдения прав человека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05962" w:rsidRPr="003D35C7" w:rsidRDefault="00F05962" w:rsidP="00540588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0;</w:t>
            </w:r>
          </w:p>
          <w:p w:rsidR="00F05962" w:rsidRPr="003D35C7" w:rsidRDefault="00F05962" w:rsidP="00540588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0.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в один этап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F05962" w:rsidRPr="003D35C7" w:rsidTr="0054058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снижени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совершения террористических актов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F05962" w:rsidRPr="003D35C7" w:rsidRDefault="00F05962" w:rsidP="00540588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сферы реализации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 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Ситуация в сфере борьбы с терроризмом и экстремизмом на территории Российской Федерации остается напряженной. Наличие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Средневасюганское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жизненно важных объектов, мест массового пребывания людей является фактором возможного планирования террористических акций членами банд формирований, поэтому сохраняется реальная угроза безопасности жителей.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Наиболее остро стоит проблема  антитеррористической защищенности объектов социальной сферы в учреждениях  образования,  культуры, спортивных залах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находится большое 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проявлением терроризма и экстремизма.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Настоящая Программа дает возможность улучшить антитеррористическую защищенность объектов социальной сферы, а также снизить существенную социальную напряженность вызванную боязнью людей возникновения террористической угрозы.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Цели, задачи, сроки и этапы реализации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 </w:t>
      </w:r>
    </w:p>
    <w:p w:rsidR="00F05962" w:rsidRPr="003D35C7" w:rsidRDefault="00F05962" w:rsidP="00F05962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483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5A2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проведение воспитательной, пропагандистской работы с населением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направленной на предупреждение террористической и экстремистской деятельности, и повышения бдительности;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профилактика терроризма и экстремизма;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укрепление межнационального согласия;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достижение взаимопонимания и взаимного уважения в вопросах межэтнического и межкультурного сотрудничества.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рамках Программы предусматривается решение следующих 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сведение к минимуму проявлений терроризма и экстремизма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Средневасюганское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проведения воспитательной, пропагандистской работы с населением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направленной  на предупреждение террористической и экстремистской деятельности, повышения бдительности населения.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Исполнение мероприятий предусмотренных Программой, позволит решить наиболее острые проблемы, стоящие перед исполнительными органами местного самоуправления и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один этап.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показатели достижения целей и решения задач, основные ожидаемые конечные результаты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962" w:rsidRPr="003D35C7" w:rsidRDefault="00F05962" w:rsidP="00F05962">
      <w:pPr>
        <w:spacing w:before="156" w:after="156" w:line="273" w:lineRule="atLeast"/>
        <w:ind w:firstLine="51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F05962" w:rsidRPr="003D35C7" w:rsidRDefault="00F05962" w:rsidP="00F05962">
      <w:pPr>
        <w:spacing w:before="156" w:after="156" w:line="273" w:lineRule="atLeast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- создание условий для стабильного социально-экономического развития поселения;</w:t>
      </w:r>
    </w:p>
    <w:p w:rsidR="00F05962" w:rsidRPr="003D35C7" w:rsidRDefault="00F05962" w:rsidP="00F05962">
      <w:pPr>
        <w:spacing w:before="156" w:after="156" w:line="273" w:lineRule="atLeast"/>
        <w:ind w:firstLine="53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отсутствие причин и условий, способствующих осуществлению террористических и экстремистских проявлений;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- сохранение толерантности.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Обобщенная характеристика основных мероприятий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F05962" w:rsidRPr="003D35C7" w:rsidRDefault="00F05962" w:rsidP="00F05962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к Программе.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 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Финансирование Программы предполагается осуществлять за счет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соответствующий финансовый год.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Объем финансовых средств, необходимых для реализации Программы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05962" w:rsidRPr="003D35C7" w:rsidRDefault="00F05962" w:rsidP="00F05962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</w:p>
    <w:p w:rsidR="00F05962" w:rsidRPr="003D35C7" w:rsidRDefault="00F05962" w:rsidP="00F05962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Финансирование мероприятий Программы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 будет осуществляться в объемах, утвержденных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Средневасюганскогом</w:t>
      </w:r>
      <w:proofErr w:type="spell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на очередной финансовый год и плановый период.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и в Программу. 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Механизм реализации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исполнителем настоящей Программы является: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Соисполнителями настоящей Программы являются </w:t>
      </w:r>
      <w:r w:rsidRPr="003D35C7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r>
        <w:rPr>
          <w:rFonts w:ascii="Times New Roman" w:hAnsi="Times New Roman" w:cs="Times New Roman"/>
          <w:sz w:val="24"/>
          <w:szCs w:val="24"/>
        </w:rPr>
        <w:t>ЖКХ Васюган</w:t>
      </w:r>
      <w:r w:rsidRPr="003D35C7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3D35C7">
        <w:rPr>
          <w:rFonts w:ascii="Times New Roman" w:hAnsi="Times New Roman" w:cs="Times New Roman"/>
          <w:sz w:val="24"/>
          <w:szCs w:val="24"/>
        </w:rPr>
        <w:t xml:space="preserve"> сельское поселение» (МУП «ЖКХ </w:t>
      </w:r>
      <w:r>
        <w:rPr>
          <w:rFonts w:ascii="Times New Roman" w:hAnsi="Times New Roman" w:cs="Times New Roman"/>
          <w:sz w:val="24"/>
          <w:szCs w:val="24"/>
        </w:rPr>
        <w:t>Васюган»</w:t>
      </w:r>
      <w:r w:rsidRPr="003D35C7">
        <w:rPr>
          <w:rFonts w:ascii="Times New Roman" w:hAnsi="Times New Roman" w:cs="Times New Roman"/>
          <w:sz w:val="24"/>
          <w:szCs w:val="24"/>
        </w:rPr>
        <w:t xml:space="preserve">),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культуры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Средневасюганского сельского поселения»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Средневасюганского сельского поселения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Муниципальное бюджетное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(МБОУ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Мыльджинская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Николаевича (МБОУ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Мыльджинская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ООШ»),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дошкольное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участковые уполномоченные полиции, специалист районной администрации (по согласованию).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бюджетных сре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Бюджетная составляющая Программы контролируется в соответствии с законодательством Российской Федерации.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Программы,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Каргасокского района Томской области.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руководство по выполнению Программы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опубликования (обнародования).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несет ответственность за реализацию и конечные результаты программы, эффективное использование выделяемых на ее выполнение финансовых средств.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Ответственный исполнитель программы с учетом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выделяемых на реализацию программы финансовых средств ежегодно уточняет затраты по программным мероприятиям, механизм реализации программы, состав участников программных мероприятий.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       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программу не допускается: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изменение целевых показателей, планируемых конечных результатов,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приводящих к ухудшению социально-экономических последствий ее реализации.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мониторинга хода реализации программы ответственный исполнитель ежеквартально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ходе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выполнения.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Ответственный исполнитель программы подготавливает и до 01 марта года, следующего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Средневасюганского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 годовой доклад о ходе реализации программы.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должен содержать: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конкретные результаты, достигнутые за отчетный период;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мероприятий, выполненных и невыполненных (с указанием причин) в установленные сроки;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факторов, повлиявших на ход реализации программы;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данные об объеме, затраченных на реализацию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финансовых ресурсов;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инфор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мацию о внесенных изменениях в</w:t>
      </w: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программу;</w:t>
      </w:r>
    </w:p>
    <w:p w:rsidR="00F05962" w:rsidRPr="003D35C7" w:rsidRDefault="00F05962" w:rsidP="00F05962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информацию для оценки эффективности реализации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F05962" w:rsidRPr="003D35C7" w:rsidRDefault="00F05962" w:rsidP="00F05962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 </w:t>
      </w:r>
      <w:proofErr w:type="gramStart"/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  программе, срок реализации которой завершается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отчетном году, ответственный исполнитель программы подготавливает и до 01 марта года, следующего за отчетным, представляет в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Каргасокского района Томской области годовой доклад о выполнении программы за весь период ее реализации.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считается завершенной после утверждения отчет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в установленном порядке.</w:t>
      </w:r>
    </w:p>
    <w:p w:rsidR="00F05962" w:rsidRPr="003D35C7" w:rsidRDefault="00F05962" w:rsidP="00F05962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имущества, создаваемого (приобретаемого) в ходе реализации 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программы.</w:t>
      </w:r>
    </w:p>
    <w:p w:rsidR="00F05962" w:rsidRPr="003D35C7" w:rsidRDefault="00F05962" w:rsidP="00F05962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ходе реализации Программы будут приобретены поощрительные призы, канцелярски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товары.</w:t>
      </w: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962" w:rsidRPr="003D35C7" w:rsidRDefault="00F05962" w:rsidP="00F05962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72A" w:rsidRDefault="00B5772A"/>
    <w:sectPr w:rsidR="00B5772A" w:rsidSect="00B5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62"/>
    <w:rsid w:val="00B5772A"/>
    <w:rsid w:val="00F0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96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F0596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2018-01-17T04:56:00Z</dcterms:created>
  <dcterms:modified xsi:type="dcterms:W3CDTF">2018-01-17T04:57:00Z</dcterms:modified>
</cp:coreProperties>
</file>